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4" w:rsidRDefault="00814E4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"/>
          <w:sz w:val="24"/>
          <w:szCs w:val="24"/>
        </w:rPr>
        <w:t>ОБҐРУНТУВАННЯ</w:t>
      </w:r>
    </w:p>
    <w:p w:rsidR="00416854" w:rsidRDefault="00814E4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технічних та якісних характеристик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закупівлі електричної енергії, </w:t>
      </w:r>
      <w:r>
        <w:rPr>
          <w:rFonts w:ascii="Times New Roman" w:hAnsi="Times New Roman" w:cs="Times New Roman"/>
          <w:spacing w:val="4"/>
          <w:sz w:val="24"/>
          <w:szCs w:val="24"/>
        </w:rPr>
        <w:t>розміру бюджетного призначення, очікуваної вартості предмета закупівлі</w:t>
      </w:r>
    </w:p>
    <w:p w:rsidR="00416854" w:rsidRDefault="00416854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(Постанова КМУ № 710 від 11.10.2016 «Про ефективне використання державних коштів»)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rFonts w:ascii="Times New Roman" w:hAnsi="Times New Roman" w:cs="Times New Roman"/>
          <w:spacing w:val="4"/>
          <w:sz w:val="24"/>
          <w:szCs w:val="24"/>
        </w:rPr>
        <w:t>Позаміський дитячий заклад оздоровлення та відпочинку «Дивосвіт» Чернігівськ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ої обласної ради, 15522, Чернігівська область, Чернігівський район,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Седнів, вул. Шевченка, 89а, код за ЄДРПОУ 38656532, категорія замовника: органи державної влади та органи місцевого самоврядування, зазначені у пункті 1 частини першої статті 2 Закону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України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«Про публічні закупівлі»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ин предмета закупівлі (лотів) (за наявності):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Електрична енергія, за кодом ДК 021:2015 - 09310000-5 Електрична енергія.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Вид та ідентифікатор процедури закупівлі (у разі наявності):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Відкриті торги – 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UA-2023-12-16-000009-a.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Очікувана вартість та обґрунтува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ння очікуваної вартості предмета закупівлі: </w:t>
      </w:r>
      <w:r>
        <w:rPr>
          <w:rFonts w:ascii="Times New Roman" w:hAnsi="Times New Roman" w:cs="Times New Roman"/>
          <w:spacing w:val="4"/>
          <w:sz w:val="24"/>
          <w:szCs w:val="24"/>
        </w:rPr>
        <w:t>3 780 000,00 грн. Визначення очікуваної вартості предмета закупівлі на 2024 року обумовлено аналізом споживання (річного та місячного) електричної енергії за календарний рік (бюджетний період) 2024 року.  Замовни</w:t>
      </w:r>
      <w:r>
        <w:rPr>
          <w:rFonts w:ascii="Times New Roman" w:hAnsi="Times New Roman" w:cs="Times New Roman"/>
          <w:spacing w:val="4"/>
          <w:sz w:val="24"/>
          <w:szCs w:val="24"/>
        </w:rPr>
        <w:t>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</w:t>
      </w:r>
      <w:r>
        <w:rPr>
          <w:rFonts w:ascii="Times New Roman" w:hAnsi="Times New Roman" w:cs="Times New Roman"/>
          <w:spacing w:val="4"/>
          <w:sz w:val="24"/>
          <w:szCs w:val="24"/>
        </w:rPr>
        <w:t>о господарства України 18.02.2020 № 275.</w:t>
      </w: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При цьому розрахунок очікуваної вартості проводився згідно з аналізом цін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електропостачальників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артість електричної енергії,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закупованої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електропостачальником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оптовому ринку електричної енергії (внутрішньодобовому ринку або ринку електричної енергії на добу наперед), послуги з передачі електричної енергії, націнка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та всі визна</w:t>
      </w:r>
      <w:r>
        <w:rPr>
          <w:rFonts w:ascii="Times New Roman" w:hAnsi="Times New Roman" w:cs="Times New Roman"/>
          <w:spacing w:val="4"/>
          <w:sz w:val="24"/>
          <w:szCs w:val="24"/>
        </w:rPr>
        <w:t>чені законодавством податки та збори.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Розмір бюджетного призначення: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3 780 000,00 згідно з потребою на 2024 рік.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Нормативно-правове регулювання</w:t>
      </w:r>
      <w:r>
        <w:rPr>
          <w:rFonts w:ascii="Times New Roman" w:hAnsi="Times New Roman" w:cs="Times New Roman"/>
          <w:spacing w:val="4"/>
          <w:sz w:val="24"/>
          <w:szCs w:val="24"/>
        </w:rPr>
        <w:t>. Закупівля електричної енергії, технічні та якісні характеристики предмета закупівлі регулюються та встановлюю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ться Законом України «Про ринок електричної енергії» (далі – Закон),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 (далі – НКРЕКП) </w:t>
      </w:r>
      <w:r>
        <w:rPr>
          <w:rFonts w:ascii="Times New Roman" w:hAnsi="Times New Roman" w:cs="Times New Roman"/>
          <w:spacing w:val="4"/>
          <w:sz w:val="24"/>
          <w:szCs w:val="24"/>
        </w:rPr>
        <w:t>від 14.03.2018 № 312 (далі – ПРРЕЕ), Законом України «Про публічні закупівлі» від 25.12.2015 № 922-VIII (далі – Закон про закупівлі), Кодексом системи розподілу, затвердженим постановою Національної комісії регулювання електроенергетики та комунальних посл</w:t>
      </w:r>
      <w:r>
        <w:rPr>
          <w:rFonts w:ascii="Times New Roman" w:hAnsi="Times New Roman" w:cs="Times New Roman"/>
          <w:spacing w:val="4"/>
          <w:sz w:val="24"/>
          <w:szCs w:val="24"/>
        </w:rPr>
        <w:t>уг України від 14.03.2018 № 310 (далі –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– Порядок № 375), та іншими нормативно-п</w:t>
      </w:r>
      <w:r>
        <w:rPr>
          <w:rFonts w:ascii="Times New Roman" w:hAnsi="Times New Roman" w:cs="Times New Roman"/>
          <w:spacing w:val="4"/>
          <w:sz w:val="24"/>
          <w:szCs w:val="24"/>
        </w:rPr>
        <w:t>равовими актами, що стосуються предмета закупівлі.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Загальні положення</w:t>
      </w:r>
      <w:r>
        <w:rPr>
          <w:rFonts w:ascii="Times New Roman" w:hAnsi="Times New Roman" w:cs="Times New Roman"/>
          <w:spacing w:val="4"/>
          <w:sz w:val="24"/>
          <w:szCs w:val="24"/>
        </w:rPr>
        <w:t>. Згідно з пунктом 26 статті 1 Закону електрична енергія – енергія, що виробляється на об’єктах електроенергетики і є товаром, призначеним для купівлі-продажу. Статтею 56 Закону визначен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о, що постачання електричної енергії споживачам здійснюється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електропостачальниками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, які отримали відповідну ліцензію, за договором постачання електричної енергії споживачу.</w:t>
      </w: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Інформація про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повинна міститись у переліку (ліцензійному реє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вебсайті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НКРЕКП у розділі: Електрична енергія  /  Ліцензува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ння  /  Реєстри ліцензіатів (вид діяльності – постачання електричної енергії). </w:t>
      </w: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повинен забезпечити поставку електричної енергії на об’єкт замовника – Позаміський дитячий заклад оздоровлення та відпочинку «Дивосвіт» Чернігівської обласн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ої ради, який знаходиться за адресою: Чернігівська область Чернігівський район,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Седнів, вул. Шевченка, 89а, та підключений до місцевих розподільчих мереж відповідно до вимог Кодексу розподільчих систем, технічні та якісні характеристики якої повинні в</w:t>
      </w:r>
      <w:r>
        <w:rPr>
          <w:rFonts w:ascii="Times New Roman" w:hAnsi="Times New Roman" w:cs="Times New Roman"/>
          <w:spacing w:val="4"/>
          <w:sz w:val="24"/>
          <w:szCs w:val="24"/>
        </w:rPr>
        <w:t>ідповідати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Обґрунтування технічних характеристик.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Термін постачання – до 31.12.2024 р. </w:t>
      </w: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години. Обсяг, необхідний для забезпечення діяльності та власних потреб об’єктів замовника, та враховуючи обсяги споживання протягом календарного року, становить 540 000 кВт.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на 2024 р.</w:t>
      </w:r>
    </w:p>
    <w:p w:rsidR="00416854" w:rsidRDefault="004168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Обґрунтування якісних характеристик</w:t>
      </w:r>
      <w:r>
        <w:rPr>
          <w:rFonts w:ascii="Times New Roman" w:hAnsi="Times New Roman" w:cs="Times New Roman"/>
          <w:spacing w:val="4"/>
          <w:sz w:val="24"/>
          <w:szCs w:val="24"/>
        </w:rPr>
        <w:t>. Пунктом 1.1.2 глави 1.1 розд</w:t>
      </w:r>
      <w:r>
        <w:rPr>
          <w:rFonts w:ascii="Times New Roman" w:hAnsi="Times New Roman" w:cs="Times New Roman"/>
          <w:spacing w:val="4"/>
          <w:sz w:val="24"/>
          <w:szCs w:val="24"/>
        </w:rPr>
        <w:t>ілу І ПРРЕЕ визначено, що якість електропостачання –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електричної енергії, а також якість електричної енергії.</w:t>
      </w: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забезпечує дотримання загал</w:t>
      </w:r>
      <w:r>
        <w:rPr>
          <w:rFonts w:ascii="Times New Roman" w:hAnsi="Times New Roman" w:cs="Times New Roman"/>
          <w:spacing w:val="4"/>
          <w:sz w:val="24"/>
          <w:szCs w:val="24"/>
        </w:rPr>
        <w:t>ьних та гарантованих стандартів якості надання послуг з електропостачання, у тому числі тих, що передбачені згідно з Порядком № 375, Законом, ПРРЕЕ, КСР, умовами договору про постачання електричної енергії (договору про закупівлю) та іншими нормативно-прав</w:t>
      </w:r>
      <w:r>
        <w:rPr>
          <w:rFonts w:ascii="Times New Roman" w:hAnsi="Times New Roman" w:cs="Times New Roman"/>
          <w:spacing w:val="4"/>
          <w:sz w:val="24"/>
          <w:szCs w:val="24"/>
        </w:rPr>
        <w:t>овими актами. Згідно зі статтею 18 Закону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</w:t>
      </w:r>
      <w:r>
        <w:rPr>
          <w:rFonts w:ascii="Times New Roman" w:hAnsi="Times New Roman" w:cs="Times New Roman"/>
          <w:spacing w:val="4"/>
          <w:sz w:val="24"/>
          <w:szCs w:val="24"/>
        </w:rPr>
        <w:t>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Стосовно технічних, якісних характеристик предмета закупівлі перед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бачається необхідність застосування заходів із захисту довкілля, у тому числі під час виконання договору про закупівлю.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зобов’язується дотримуватися передбачених чинним законодавством вимог щодо застосування заходів із захисту довкілля.</w:t>
      </w:r>
    </w:p>
    <w:p w:rsidR="00416854" w:rsidRDefault="00814E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(замовнику), що за належних умов забезпечать задоволення попиту на 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поживання електричної енергії споживачу (замовнику).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зобов'язується забезпечити комерційну якість послуг, які надаються споживачу (замовнику), що передбачає вчасне та повне інформування споживача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(замовника) про умови постачання електри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електропостачальником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та споживачем (замовником), ведення точних та прозорих розрахунків із </w:t>
      </w:r>
      <w:r>
        <w:rPr>
          <w:rFonts w:ascii="Times New Roman" w:hAnsi="Times New Roman" w:cs="Times New Roman"/>
          <w:spacing w:val="4"/>
          <w:sz w:val="24"/>
          <w:szCs w:val="24"/>
        </w:rPr>
        <w:t>споживачем (замовником), а також можливість вирішення спірних питань шляхом досудового врегулювання. Споживач (замовник) має право на отримання компенсації за недотримання показників комерційної якості надання послуг постачальником. Постачальник зобов’язує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ться надавати компенсацію споживачу (замовнику) за недотримання показників комерційної якості надання послуг постачальником у порядку, затвердженому Регулятором, та опублікувати на своєму офіційному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вебсайті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порядок надання компенсацій та їх розміри.</w:t>
      </w:r>
    </w:p>
    <w:p w:rsidR="00416854" w:rsidRDefault="00416854"/>
    <w:sectPr w:rsidR="004168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49" w:rsidRDefault="00814E49">
      <w:pPr>
        <w:spacing w:after="0" w:line="240" w:lineRule="auto"/>
      </w:pPr>
      <w:r>
        <w:separator/>
      </w:r>
    </w:p>
  </w:endnote>
  <w:endnote w:type="continuationSeparator" w:id="0">
    <w:p w:rsidR="00814E49" w:rsidRDefault="0081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49" w:rsidRDefault="00814E49">
      <w:pPr>
        <w:spacing w:after="0" w:line="240" w:lineRule="auto"/>
      </w:pPr>
      <w:r>
        <w:separator/>
      </w:r>
    </w:p>
  </w:footnote>
  <w:footnote w:type="continuationSeparator" w:id="0">
    <w:p w:rsidR="00814E49" w:rsidRDefault="0081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0CE"/>
    <w:multiLevelType w:val="hybridMultilevel"/>
    <w:tmpl w:val="51162C88"/>
    <w:lvl w:ilvl="0" w:tplc="DFCC24E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115A23B6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5CD2652A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5928A58C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A3CF97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9FCCEBD4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B9824C94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3C14227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381848C4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24AB7E93"/>
    <w:multiLevelType w:val="hybridMultilevel"/>
    <w:tmpl w:val="26A6393E"/>
    <w:lvl w:ilvl="0" w:tplc="54C6C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D7685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0F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8C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6C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EF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4C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B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E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17AE"/>
    <w:multiLevelType w:val="multilevel"/>
    <w:tmpl w:val="CBFE4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44010CF8"/>
    <w:multiLevelType w:val="hybridMultilevel"/>
    <w:tmpl w:val="83F6DB14"/>
    <w:lvl w:ilvl="0" w:tplc="451225BC">
      <w:start w:val="1"/>
      <w:numFmt w:val="decimal"/>
      <w:suff w:val="space"/>
      <w:lvlText w:val="%1."/>
      <w:lvlJc w:val="left"/>
      <w:rPr>
        <w:b/>
        <w:bCs/>
        <w:strike w:val="0"/>
      </w:rPr>
    </w:lvl>
    <w:lvl w:ilvl="1" w:tplc="E2B6F6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4C5A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BC85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0A9D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2E48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386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2E2F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C4C5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8C73E03"/>
    <w:multiLevelType w:val="hybridMultilevel"/>
    <w:tmpl w:val="641C0398"/>
    <w:lvl w:ilvl="0" w:tplc="5E1015B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714A8268">
      <w:start w:val="1"/>
      <w:numFmt w:val="decimal"/>
      <w:lvlText w:val="%2."/>
      <w:lvlJc w:val="left"/>
      <w:pPr>
        <w:tabs>
          <w:tab w:val="left" w:pos="6173"/>
        </w:tabs>
        <w:ind w:left="6173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342CE3B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CAE2CC58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E1202A2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FAD205A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0FC2F7F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D388C3C4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CDDC0FD4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4D015353"/>
    <w:multiLevelType w:val="hybridMultilevel"/>
    <w:tmpl w:val="A9525924"/>
    <w:lvl w:ilvl="0" w:tplc="4F8AC01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58F8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E1A36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7844D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9822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D66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1E89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747C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DC73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1818CC"/>
    <w:multiLevelType w:val="hybridMultilevel"/>
    <w:tmpl w:val="12443790"/>
    <w:lvl w:ilvl="0" w:tplc="FB8257B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C4A44C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26A9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AA80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4673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849A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B6C50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D89D1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31E33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F22FBE"/>
    <w:multiLevelType w:val="hybridMultilevel"/>
    <w:tmpl w:val="753019DE"/>
    <w:lvl w:ilvl="0" w:tplc="B29EEED8">
      <w:start w:val="1"/>
      <w:numFmt w:val="decimal"/>
      <w:lvlText w:val="%1."/>
      <w:lvlJc w:val="left"/>
      <w:pPr>
        <w:ind w:left="720" w:hanging="360"/>
      </w:pPr>
    </w:lvl>
    <w:lvl w:ilvl="1" w:tplc="951CC07A">
      <w:start w:val="1"/>
      <w:numFmt w:val="lowerLetter"/>
      <w:lvlText w:val="%2."/>
      <w:lvlJc w:val="left"/>
      <w:pPr>
        <w:ind w:left="1440" w:hanging="360"/>
      </w:pPr>
    </w:lvl>
    <w:lvl w:ilvl="2" w:tplc="B50C01B6">
      <w:start w:val="1"/>
      <w:numFmt w:val="lowerRoman"/>
      <w:lvlText w:val="%3."/>
      <w:lvlJc w:val="right"/>
      <w:pPr>
        <w:ind w:left="2160" w:hanging="180"/>
      </w:pPr>
    </w:lvl>
    <w:lvl w:ilvl="3" w:tplc="DEF03372">
      <w:start w:val="1"/>
      <w:numFmt w:val="decimal"/>
      <w:lvlText w:val="%4."/>
      <w:lvlJc w:val="left"/>
      <w:pPr>
        <w:ind w:left="2880" w:hanging="360"/>
      </w:pPr>
    </w:lvl>
    <w:lvl w:ilvl="4" w:tplc="2A72AAA6">
      <w:start w:val="1"/>
      <w:numFmt w:val="lowerLetter"/>
      <w:lvlText w:val="%5."/>
      <w:lvlJc w:val="left"/>
      <w:pPr>
        <w:ind w:left="3600" w:hanging="360"/>
      </w:pPr>
    </w:lvl>
    <w:lvl w:ilvl="5" w:tplc="42485024">
      <w:start w:val="1"/>
      <w:numFmt w:val="lowerRoman"/>
      <w:lvlText w:val="%6."/>
      <w:lvlJc w:val="right"/>
      <w:pPr>
        <w:ind w:left="4320" w:hanging="180"/>
      </w:pPr>
    </w:lvl>
    <w:lvl w:ilvl="6" w:tplc="0A7C91C4">
      <w:start w:val="1"/>
      <w:numFmt w:val="decimal"/>
      <w:lvlText w:val="%7."/>
      <w:lvlJc w:val="left"/>
      <w:pPr>
        <w:ind w:left="5040" w:hanging="360"/>
      </w:pPr>
    </w:lvl>
    <w:lvl w:ilvl="7" w:tplc="AB928CCE">
      <w:start w:val="1"/>
      <w:numFmt w:val="lowerLetter"/>
      <w:lvlText w:val="%8."/>
      <w:lvlJc w:val="left"/>
      <w:pPr>
        <w:ind w:left="5760" w:hanging="360"/>
      </w:pPr>
    </w:lvl>
    <w:lvl w:ilvl="8" w:tplc="58AE9C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54"/>
    <w:rsid w:val="000241B3"/>
    <w:rsid w:val="00416854"/>
    <w:rsid w:val="00814E49"/>
    <w:rsid w:val="00E5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867D8227-A940-4957-AFE0-5604D84D9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2</cp:revision>
  <dcterms:created xsi:type="dcterms:W3CDTF">2023-12-21T12:31:00Z</dcterms:created>
  <dcterms:modified xsi:type="dcterms:W3CDTF">2023-12-21T12:31:00Z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