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99" w:rsidRDefault="00456748">
      <w:pPr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shd w:val="clear" w:color="FFFFFF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FFFFFF" w:fill="FFFFFF"/>
          <w:lang w:val="uk-UA"/>
        </w:rPr>
        <w:t>Додаток 1</w:t>
      </w:r>
    </w:p>
    <w:p w:rsidR="00292099" w:rsidRDefault="00456748">
      <w:pPr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shd w:val="clear" w:color="FFFFFF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FFFFFF" w:fill="FFFFFF"/>
          <w:lang w:val="uk-UA"/>
        </w:rPr>
        <w:t>до Плану дій з виконання резолюції Ради Безпеки ООН 1325 «Жінки, мир, безпека» на період до 2025 року у Чернігівській області       </w:t>
      </w:r>
    </w:p>
    <w:p w:rsidR="00292099" w:rsidRDefault="0029209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2099" w:rsidRDefault="00456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ПЛАН ЗАХОДІВ </w:t>
      </w:r>
    </w:p>
    <w:p w:rsidR="00292099" w:rsidRDefault="004567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hd w:val="clear" w:color="FFFFFF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щодо виконання Плану дій</w:t>
      </w:r>
      <w:r>
        <w:rPr>
          <w:rFonts w:ascii="Times New Roman" w:hAnsi="Times New Roman" w:cs="Times New Roman"/>
          <w:bCs/>
          <w:sz w:val="28"/>
          <w:shd w:val="clear" w:color="FFFFFF" w:fill="FFFFFF"/>
          <w:lang w:val="uk-UA"/>
        </w:rPr>
        <w:t xml:space="preserve"> з реалізації резолюції Ради Безпеки ООН 1325 «Жінки, мир, безпека» </w:t>
      </w:r>
    </w:p>
    <w:p w:rsidR="00292099" w:rsidRDefault="00456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hd w:val="clear" w:color="FFFFFF" w:fill="FFFFFF"/>
          <w:lang w:val="uk-UA"/>
        </w:rPr>
        <w:t>на період до 2025 року у Чернігівській області</w:t>
      </w:r>
    </w:p>
    <w:p w:rsidR="00292099" w:rsidRDefault="00456748">
      <w:pPr>
        <w:tabs>
          <w:tab w:val="left" w:pos="6780"/>
        </w:tabs>
        <w:rPr>
          <w:lang w:val="uk-UA"/>
        </w:rPr>
      </w:pPr>
      <w:r>
        <w:rPr>
          <w:lang w:val="uk-UA"/>
        </w:rPr>
        <w:tab/>
      </w:r>
    </w:p>
    <w:tbl>
      <w:tblPr>
        <w:tblStyle w:val="af5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4394"/>
        <w:gridCol w:w="2977"/>
        <w:gridCol w:w="2126"/>
        <w:gridCol w:w="1417"/>
        <w:gridCol w:w="1843"/>
      </w:tblGrid>
      <w:tr w:rsidR="00292099">
        <w:trPr>
          <w:trHeight w:val="1264"/>
        </w:trPr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Індикатор виконання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виконання, роки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(державний, місцевий бюджет, інші джерела)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Стратегічна ціль 1. Забезпечення рівноправної участі жінок і чоловіків у прийнятті рішень щодо запобігання конфліктам,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розв’язання конфліктів,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відновлення на всіх рівнях та в усіх сферах, зокрема в секторі безпеки і оборони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Оперативна ціль 1.1. Створення нормативно-правових умов та можливостей для рівноправної участі жінок і чоловіків у мирних переговорах і прийнятті рішень з питань запобігання конфліктам, розв’язання конфліктів, надання допомоги постраждалим,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постконфліктног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відновлення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механізму врахування потреб жінок і чоловіків у мирних переговорах,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постконфліктному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відновленні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1) Залучення до співпраці з питань локалізації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Національного плану дій з виконання резолюції Ради Безпеки ООН 1325 «Жінки, мир, бе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зпека» на період до 2025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року в Чернігівській області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громадських організацій, зокрема, жіночих та молодіжних ініціативних груп,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самодопомоги, які працюють у сфері реагування на кризу, спричинену наслідками війни, післявоєнного відновлення,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миробудува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протидії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зумовленому насильству, в тому числі сексуальному насильству, пов’язаному з військовим конфліктом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підписаних меморандумів про співпрацю.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створених груп самодопомоги на території Чернігівської області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rPr>
          <w:trHeight w:val="410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2) Залучення до діяльності груп самодопомоги та реалізації регіонального плану представників</w:t>
            </w: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цільових груп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Національного плану дій з виконання резолюції Ради Безпеки ООН 1325 «Жінки, мир, безпека» на період до 2025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року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а саме: близьких родичів та членів сімей учасників бойових дій; ветеранів; осіб, які повернулися з полону і членів їх сімей; осіб, які отримали інвалідність внаслідок поранення; жінок або чоловіків, які мають на утриманні малолітніх дітей; осіб, які зазн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али матеріальних збитків через бойові дії; осіб, які постраждали від торгівлі людьми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Департаменти облдержадміністрації: сім’ї, молоді та спорту; соціального захисту населення; Сектор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Чернiгiвськiй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Мiнiстерства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справах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ветеранiв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(за згод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увійшли до складу груп самодопомоги з розподілом за статусом та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rPr>
          <w:trHeight w:val="1715"/>
        </w:trPr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Удосконалення документів, що регулюють інд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ивідуальну поведінку та корпоративну етику в частині протидії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сексизму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сексуальним домаганням, психологічному та сексуальному насильству, дискримінації під час прийняття на службу, виконання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службових обов’язків та участі у прийнятті рішень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1) Створення та забезпечення діяльності експертної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мультидисциплінарної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групи із залученням представників громадських організацій для здійснення аналізу та моніторингу розпорядчих, відомчих документів обласного/місцевого рівня, що визначають принципи та 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рми індивідуальної поведінки та корпоративної етики щодо наявності положень про запобігання і протидію дискримінації,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сексизму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сексуальним домаганням, психологічному та сексуальному насильству, та для підготовки змін для удосконалення нормативно-правових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актів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рішення, що підтверджує створення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мультидисциплінарної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групи.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членів групи з розподілом за типом організації (де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ржавна, комунальна, недержавна), за статтю учасників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rPr>
          <w:trHeight w:val="1997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2) Проведення навчання членів експертної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мультидисциплінарної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групи із запобігання і протидії дискримінації,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сексизму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сексуальним домаганням, психологічному та сексуальн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ому насильству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пройшли навчання,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rPr>
          <w:trHeight w:val="217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3) Проведення аналізу відомчих документів та підготовка рекомендацій до адаптації нормативно-правових актів з питань подолання конфліктів, встановлення миру і безпеки, відновлення, протидії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безпековим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викликам та запобігання і протидії насильству (підготов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ка опитувальника для проведення аналізу, вибір відомств, у яких буде проведено аналіз документів, тощо).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Адаптація проаналізованих документів щодо запобігання і протидії дискримінації,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сексизму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сексуальним домаганням, психологічному та сексуальному насиль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ству.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Розробка та затвердження положення/політик, які прийняті з урахуванням гендерних підходів у відомчих структурах різного рівня з протидії сексуальним домаганням та протидію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мобінгу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сексуальному насильству, пов’язаному з конфліктом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сім’ї,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опитувальника для проведення аналізу.</w:t>
            </w:r>
          </w:p>
          <w:p w:rsidR="00292099" w:rsidRDefault="00456748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відомств, які відібрані для проведення аналізу.</w:t>
            </w:r>
          </w:p>
          <w:p w:rsidR="00292099" w:rsidRDefault="00456748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аналітичних документів та рекомендацій.</w:t>
            </w:r>
          </w:p>
          <w:p w:rsidR="00292099" w:rsidRDefault="00456748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аявність рекомендацій для змін документів.</w:t>
            </w:r>
          </w:p>
          <w:p w:rsidR="00292099" w:rsidRDefault="00456748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документів, в які внесені зміни після проведення аналізу.</w:t>
            </w:r>
          </w:p>
          <w:p w:rsidR="00292099" w:rsidRDefault="00456748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розроблених документів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rPr>
          <w:trHeight w:val="195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4) Включення до програм підготовки особового складу структур сектору безпеки і оборони, державних службовців та службовців органів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місцевого самоврядування теми з протидії насильства за ознакою статті, сексуальному насильству, пов’язаному з військовим конф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ліктом, гендерної дискримінації та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сексизму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.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Уведення у навчальні програми підвищення кваліфікації та підготовка фахівців за темами: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- складові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викликів;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 оцінка шкоди, заподіяного під час збройного конфлікту;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 перехідне правосуддя;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 кризова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комунікація;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- виклики щодо дотримання прав жінок та чоловіків (у т.ч. щодо репродуктивного здоров’я, примусу сурогатного материнства);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 обов’язковість дотримання конфіденційності при роботі в громаді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Департамент сім’ї, молоді та спорту облдержадміністр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Чернігівський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регіональний центр підвищення кваліфікації;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Наявність затвердженого навчального плану підвищення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кваліфікації за відповідними темами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та інші джерела,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заборонені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законодавством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 Забезпечення належних умов для професійного розвитку жінок, які працюють у державних органах та органах місцевого самоврядування, а також жінок із числа осіб рядового та начальницького складу служби цивільного захисту, курсанток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закладів вищої освіти,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ійськових закладів вищої освіти, цільових груп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Національного плану дій з виконання резолюції Ради Безпеки ООН 1325 «Жінки, мир, безпека» на період до 2025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1) Організація та проведення навчань/тренінгів за загальними короткостроковими програмами державних службовців та посадових осіб місцевого самоврядування з питань порядку денного «Жінки, мир, безпека», розвитку лідерського потенціалу, участі жінок і чолові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ків у питаннях реагування на кризу, спричинену війною та післявоєнного відновлення, навичок ведення переговорів, медіації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Чернігівський регіональний центр підвищення кваліфікації;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райдержадміністрац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пройшли тренінги,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осіб, які говорять про підвищення рівня знань і навичок післ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участі в тренінгу,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2) Організація та проведення для молоді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флешмобів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інформаційних заходів з питань забезпечення рівних прав та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можливостей з метою візуалізації, популяризації позитивного іміджу та посилення ролі жінок у секторі безпеки і оборони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Департамент сім’ї,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Управління освіти і науки облдержадміністрації; райдержадміністрації, виконавч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Кількість проведених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флешмобів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92099" w:rsidRDefault="00456748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Кількість охоплених осіб з розподілом за статтю</w:t>
            </w:r>
          </w:p>
          <w:p w:rsidR="00292099" w:rsidRDefault="00292099">
            <w:pPr>
              <w:tabs>
                <w:tab w:val="left" w:pos="67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та інші джерела, 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заборонені зак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онодавством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Оперативна ціль 1.2. Залучення інститутів громадянського суспільства до прийняття рішень з підтримки і просування культури миру, встановлення миру,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відновлення та надання допомоги особам, які постраждали від конфлікту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 Створення умов для участі інститутів громадянського суспільства, в тому числі органів самоорганізації населення, активістів у впровадженні порядку денного «Жінки, мир, безпека»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1) Включення представників  громадських об’єднань, груп самодопомоги, зокрем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а, що представляють інтереси цільових груп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Національного плану дій з виконання резолюції Ради Безпеки ООН 1325 «Жінки, мир, безпека» на період до 2025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до складу консультативно-дорадчих органів з питань впровадження порядку денного «Жінки, мир, безпека»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Відсоток пре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дставників з числа груп самодопомоги та громадських об’єднань, включених до складу консультативно-дорадчих органів 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2) Проведення моніторингу діяльності консультативно-дорадчих органів з питань забезпечення гендерної рівності та участі в їх складі представників громадських об’єднань 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проведених засідань консультативно-дорадчих органів.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осіб, які увійшли до складу з розподілом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3) Включення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питань щодо реалізації Національного плану дій з виконання резолюції Ради Безпеки ООН 1325 «Жінки, мир, безпека»,  на період до 2025 року, забезпечення рівних прав та можливостей жінок і чоловіків, протидії сексуальному насильству в умовах конфлікту,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безпе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кових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викликів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до переліку тем для проведення конкурсів проектів інститутів громадянського суспільства за рахунок бюджетних коштів та надання підтримки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ja-JP"/>
              </w:rPr>
              <w:t>громадським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об’єднанням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 w:eastAsia="ja-JP"/>
              </w:rPr>
              <w:t>, які за результатами конкурсів впроваджують такі проекти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Департаменти облдержадміністрації: сім’ї, молоді та спорту;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соціального захисту населення;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оголошених конкурсів з цих тем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давством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Стратегічна ціль 2. Створення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чутливої системи ідентифікації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викликів, запобігання таким викликам, реагування на них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2.1. Наявність дієвого механізму взаємодії державних органів, громадських об’єднань, підприє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мств, установ та організацій з ідентифікації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викликів, запобігання таким викликам, реагування на них (війни, пандемії, техногенні катастрофи) з урахуванням потреб різних груп дівчат і хлопців, жінок і чоловіків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 Визначення механізму взаємодії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органів державної влади щодо ідентифікації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викликів, реагування на них із залученням представників громадянського суспільства, зокрема жінок і дівчат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1) Сприяння підвищенню обізнаності з питань  ідентифікації та реагування 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виклики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з урахуванням потреб різних груп жінок і чоловіків, дівчат і хлопців (зокрема, потреб жінок і чоловіків, осіб з інвалідністю, осіб, які потерпають від множинної дискримінації тощо), у тому числі шляхом проведення навчань з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орієнтованого бюджетуван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ня, належного врядування із застосуванням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чутливих підходів, методології проведення аудитів безпеки в громадських місцях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Управління освіти і науки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Чернігівський регіональний центр підвищення кваліфікації;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пройшли навчання, з розподілом 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статтю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показали підвищений рівень знань за результатами оцінки після проходження навчання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щонайменше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одного аудиту безпеки в Чернігівській області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2023-2024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2) Проведення гендерного аналізу нормативно-правових документів обласного та місцевого рівнів щодо ефективності взаємодії органів державної влади, громадських об’єднань, підприємств, установ та організацій з ідентифікації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викликів, реагування 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них 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плану проведення моніторингу. Кількість осіб, які входять в групу з моніторингу,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результатів аналізу документів обласного та місцевого рівнів з рекомендаціями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 Забезпечення врахування гендерного компонента під час формування складу штабів, комісій з питань реагування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виклики та під час провадження ними діяльності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гендерного аналізу існуючого складу штабів, комісій з питань реагування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виклики щодо врахування принципу забезпечення рівних прав та можливостей жінок і чоловіків, відповідних місцевих штабів і комісій та надання рекомендацій щодо внесення змін до їх складу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з питань цивільного захисту та оборонної робо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облдержадміністрації; 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опитувальника для проведення аналізу.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штабів та комісій, які відібрані для проведення аналізу.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осіб, які увійшли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складу штабів та комісій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 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відповідності інфраструктури, насамперед критичної, потребам ідентифікації загроз безпеці, запобігання таким загрозам, реагування на потенційні виклики із застосуванням гендерного та інклюзивного підходу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 аудиту безпеки територій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територіальних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ромад області, перевірка та/або облаштування укриттів у закладах освіти, медицини, соціальної сфери з урахуванням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чутливих та інклюзивних потреб жінок і чоловіків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Департаменти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облдержадміністрації: з питань цивільного захисту та оборонної роботи;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соціального захисту населення;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облдержадміністрації: освіти і науки; охорони здоров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перевірених та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облаштованих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укриттів у відповідних закладах 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та інші джерела, не заборонені законодавством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Оперативна ціль 2.2. Забезпечення спроможності населення України, зокрема жінок і дівчат, виявляти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зап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обігати таким викликам, реагувати на них відповідно до наявних інструкцій, законодавства, рівня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викликів та власних потреб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 Формування навичок у різних груп населення з виявлення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викликів, запобігання таким викликам, реагування на них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1) Залучення представників груп самодопомоги до розповсюдження пам’яток екстреного реагування 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виклики на рівні територіальних громад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з питань цивільного захисту та оборонної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роботи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облдержадміністрації; 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розповсюджених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залучених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представників груп самодоп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омоги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2) Залучення представників груп самодопомоги до інформування населення про алгоритм дій із запобігання надзвичайним ситуаціям та реагування на них, бойові дії, цифрову та інформаційну небезпеку на рівні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територіальних громад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Департамент з питань цивільного захисту та оборонної роботи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облдержадміністрації; 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виконавчі комітети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Кількість просвітницьких захо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дів із запобігання надзвичайним ситуаціям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реагування на них, бойові дії, цифрову та інформаційну небезпеку на рівні територіальних громад.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осіб, що охоплені інформаційними кампаніями із запобігання надзвичайним ситуаціям та реагування на них,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бойові дії, цифрову та інформаційну небезпеку на рівні територіальних громад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2023-2024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Запровадження фахової підготовки жіночих ініціативних груп,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членів груп самодопомоги, представників 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рганів регіональної влади та місцевого самоврядування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управління процесами запобігання конфліктам та врегулювання їх (тренінги, семінари,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перемовин та медіації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оведених навчань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 які підвищили рівень знань з перемовин та медіації, а також неконфліктного спілкування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Проведення тематичних навчань (із залученням школярів, молоді, представників органів місцевого самоврядування) для різних груп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населення з питань безпеки та захисту від надзвичайних ситуацій, в тому числі через відповідні канали комунікацій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Департамент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 xml:space="preserve">облдержадміністрації;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Управління облдержадміністрації: освіти і науки, охорони здоров’я;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Головне управління Національної поліції в Чернігівській області (за згодою)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Кількість осіб, охоплених навчанням та інформуванням,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каналів, через які поширено інформацію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та інші джерела, не заборонені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законодавством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Проведення аналізу існуючих каналів комунікації та їхньої доступності для різних груп населення з інформування про питання безпеки та захисту від надзвичайних ситуацій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з пи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тань цивільного захисту та оборонної роботи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облдержадміністрації; Управління облдержадміністрації: освіти і науки, охорони здоров’я;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Головне управління Національної поліції в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звітів за результатами тематичних досліджень з рекомендаціями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</w:tc>
      </w:tr>
      <w:tr w:rsidR="00292099">
        <w:trPr>
          <w:trHeight w:val="300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6) Проведення інформаційних кампаній,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просвітницьких заходів, ініціатив для осіб похилого віку, осіб з інвалідністю,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категорій громадян, в тому числі, які належать до національних етнічних та релігійних груп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національних меншин),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цифрової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шляхом забезпечення доступу до якісного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зв’язку, зокрема в сільських громадах, районах проведення бойових дій/прифронтових районних з метою протидії дезінформації, пропаганді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фейкам</w:t>
            </w:r>
            <w:proofErr w:type="spellEnd"/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Департаменти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облдержадміні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страції: енергоефективності, транспорту, зв’язку та житлово-комунального господарства;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культури і туризму, національностей та релігій;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проведених заходів.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взяли участ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в заходах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територіальних громад, де забезпечено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Інтернет-зв’язок</w:t>
            </w:r>
            <w:proofErr w:type="spellEnd"/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місцевий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rPr>
          <w:trHeight w:val="300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7) Включення до програм підвищення кваліфікації для педагогічних працівників та до навчальних програм для дітей тем з питань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особливостей безпеки життєдіяльності дівчат і хлопців, зокрема поводження з вибухонебезпечними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предметами, надання психологічної підтримки з питань подолання психологічних травм у дітей, які постраждали від конфліктів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освіти і науки облдержадміністрації;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з питань цивільного захисту та оборонної роботи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Чернігівський обласний інститут післядипломної педагогічної освіти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br/>
              <w:t>імені К.Д. Ушинського (за згодою)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навчальних програм в установах, які підвищують кваліфікацію педагогічних кадрів.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прослухали заняття,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навчальних програм для дітей. Кількість занять, проведених для дітей.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проведених інформаційних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заходів для батьків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8) Проведення інформаційних та просвітницьких програм на місцевих радіостанціях,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 мережах та на інших каналах зв’язку щодо особливостей безпеки життєдіяльності дівчат і хлопців, зокрема поводження з вибухонебезпечними предметами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освіти і науки облдержадміністрації;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з питань цивільного захисту та оборонної роботи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Головне управління  Національної поліції в Чернігівській області (за згодою);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Чернігівський обласний інститут післядипломної педагогічної освіти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br/>
              <w:t>імені К.Д. Ушинського (за зго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Навчально-методичний центр цивільного захисту та безпеки життєдіяльності Чернігівської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інформаційних та просвітницьких програм.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ЗМІ, які розмістили інформацію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Обласний/ місцевий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9) Проведення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у закладах освіти інформаційних та просвітницьких заходів з питань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кібер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безпеки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і протидії кіберзлочинності з урахуванням гендерного підходу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облдержадміністрації; Головне управління Національної поліції в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громадські об’єднання та міжнародні організації (за згодою) 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Наявність у навчальних програмах тем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кібергігієни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дітей, які пройшли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навчання,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соціальних працівників, які пройшли навчання,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яким проведено роз’яснювальну роботу,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pStyle w:val="af6"/>
              <w:ind w:firstLine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 xml:space="preserve">9. Формування системи раннього оповіщення населення про небезпеки, пов’язані із збройним конфліктом (повідомлення про активізацію воєнних дій,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розмінування, заміновані об’єкти тощо), яка включає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гендерно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чутливі показники і заходи 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Виготовлення та розповсюдження пам’яток екстреного реагування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виклики, роликів, інтерактивних матеріалів, навчальних  серіалів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з питань цив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ільного захисту та оборонної роботи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Головне управління Національної поліції в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виданих та розповсюджених пам’яток, роликів, інтерактивних матеріалів, навчальних  серіалів.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охоплених осіб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pStyle w:val="af6"/>
              <w:ind w:firstLine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Розробка, затвердження і впровадження планів інформування про дії щодо запобігання надзвичайним ситуаціям та реагування на них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з питань цивільного захисту та оборонної роботи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Головне управління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Національної поліції в 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Наявність планів інформування та результатів їх впровадження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 Підвищення спроможності територіальних громад щодо управління процесами запобігання конфліктам і врегулювання конфліктів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освітніх та просвітницьких заходів для жінок і дівчат різних соціальних груп з питань запобігання конфліктам, їх врегулю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вання, міжнародних механізмів захисту прав людини,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самозайнятості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розвитку бізнесу, зокрема: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«Лідерство для дівчат та жінок»;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«Економічні можливості для дівчат/жінок ВПО»;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«Участь жінок у процесах відновлення»</w:t>
            </w:r>
          </w:p>
          <w:p w:rsidR="00292099" w:rsidRDefault="00292099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Департаменти облдержадміністрації: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кономічного розвитку; соціального захисту населення;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Обласний центр зайнятості;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Регіональний центр з надання безоплатної вторинної правової допомоги у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Агенція регіонального розвитку Чернігівської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авна організація «Регіональний фонд підтримки підприємництва по Чернігівській області»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проведених навчальних заходів.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заходів для жінок різних соціальних груп.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ькість жінок, які взяли участь у заходах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</w:tr>
      <w:tr w:rsidR="00292099"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 Включення питань аудиту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безпеки територій до освітніх програм суб’єктів реагування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виклики, насильство за ознакою статі та насильство, пов’язане з конфліктом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Організація тренінгів, семінарів з вивчення методики проведення аудиту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безпеки територій на місцевому рівні для різних категорій осіб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Громадські об’єднання та міжнародні організац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ії (за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Наявність методичних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рекомендацій.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проведених тренінгів.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пройшли тренінг,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навчальних матеріалів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джерела, не заборонені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законодавством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Стратегічна ціль 3. Забезпечення процесу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відновлення, розбудови та впровадження системи перехідного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правосуддя за принципами забезпечення рівних прав та можливостей жінок і чоловіків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Оперативна ціль 3.1. Визначення суспільного та політичного діалогу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відновлення та розбудови відновного/перехідного правосуддя жінок і врахування особливостей потреб жінок і чоловіків (дівчат і хлопців), які постраждали від конфлікту</w:t>
            </w:r>
          </w:p>
        </w:tc>
      </w:tr>
      <w:tr w:rsidR="00292099">
        <w:trPr>
          <w:trHeight w:val="3138"/>
        </w:trPr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 Проведення підготовки фахівців з питань надання профілактично-психологічної допомоги особам, постраждалим від конфлікту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навчальних заходів для представлення наявного досвіду роботи з питань надання профілактично-психологічної допомоги особам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постраждалим від конфлікту з врахуванням гендерної складової. Створення та поширення електронного видання методичних рекомендацій із запобігання конфліктам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центр соціальних служб; Управління освіти і науки облдержадміністрації,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пройшли навчання,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методичних рекомендацій.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каналів, де розміщено методичні рекомендації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rPr>
          <w:trHeight w:val="183"/>
        </w:trPr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 Заб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езпечення надійних джерел комунікації з питань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відновлення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 з питань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відновлення для місцевого населення та ВПО, зокрема, за темою: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«Прикладні аспекти збереження психічного здоров’я особистості»;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«Правові засоби захисту прав і свобод дитини в Україні»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Департаменти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облдержадміністрації: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ї, молоді та спорту,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населення;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освіти і науки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облдержадмініс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Кількість осіб, які пройшли навчання,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проведених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інформаційно-просвітницьких заходів.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охоплених інформаційно-просвітницькими заходами, з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озподілом за статтю (за можливістю)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rPr>
          <w:trHeight w:val="624"/>
        </w:trPr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Оперативна ціль 3.2. Визначення специфічних потреб осіб, які постраждали від конфлікту, зокрема жінок, з урахуванням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гендерних підходів та їх урахування під час надання адміністративних, медичних та соціальних послуг</w:t>
            </w:r>
          </w:p>
        </w:tc>
      </w:tr>
      <w:tr w:rsidR="00292099">
        <w:trPr>
          <w:trHeight w:val="4245"/>
        </w:trPr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 Забезпечення проведення на постійній основі оцінювання, аналізу потреб та доступності адміністративних, медичних та соціальних послуг, надання правової допомоги різними групами жінок і чоловіків, які постраждали від конфлікту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Сприяння розробці гендерни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х профілів територіальних громад з елементами аналізу впливу війни 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аспекти в громадах з метою виявлення специфічних потреб осіб, які постраждали від наслідків кризи, спричиненої війною, та їх урахування в програмних документах громад та планах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відновлення, а також під час надання адміністративних, медичних та соціальних послуг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сім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громадські об’єднання та міжнародні організації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створених гендерних профілів територіальних громад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rPr>
          <w:trHeight w:val="1730"/>
        </w:trPr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 Проведення консультацій та надання необхідної комплексної, гуманітарної, медичної,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соціально-психологічної, правової допомоги особ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ам, які постраждали від конфлікту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1) Забезпечення надання жінкам і дівчатам, які постраждали від конфлікту,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зумовленого насильства медичної та консультативної допомоги з питань репродуктивного здоров’я, зокрема через проекти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місцевому рівні із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залученням активних представників громади та органів місцевого самоврядування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Управління охорони здоров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 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Обласний центр соціальних служб;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виконавчі комітети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міських/сільських/селищних 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Кількість послуг з розбивкою за видами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</w:tr>
      <w:tr w:rsidR="00292099">
        <w:trPr>
          <w:trHeight w:val="127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Створення та підтримка роботи мобільних бригад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соціально-психологічної допомоги особам, які постраждали від конфлікту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сім’ї, молоді та спорту облдержадміністрації, управління охорони здоров’я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створ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ених мобільних бригад.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осіб, які отримали послуги мобільних бригад,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rPr>
          <w:trHeight w:val="142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Проведення циклу тренінгів/семінарів для жінок і дівчат, які постраждали від різних видів конфліктів,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зокрема з питань про молодіжне лідерство та участь у прийнятті рішень, попередження та реагування на сексуальне насильство, пов’язане з військовим конф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ліктом, протидію торгівлі людьми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сім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проведених тренінгів/семінарів для молоді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Кількість учасників тренінгів, що показали підвищений рівень знань після проходження навчання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rPr>
          <w:trHeight w:val="165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4) Сприяння розробці місцевих програм соціальної адаптації та інтеграції внутрішньо переміщених осіб в громади, розробка алгоритму виявлення потреб,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пріоритизації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розподілу цільової гуманітарної допомоги з урахуванням міжнародних стандартів надання гума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нітарної допомоги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соціального захисту населення облдержадміністрації;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громадські об’єднання та міжнародні організації (за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згодою)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Кількість розроблених програм в області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rPr>
          <w:trHeight w:val="263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Надання комплексної допомоги (психологічних консультацій, соціально-психологічної підтримки, первинної та вторинної правової допомоги, проведення виїзних зустрічей в громадах, тощо)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учасникам бойових дій, членам їх сімей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шим категоріям населення, яких торкнулися наслідки війни, із залученням центрів надання правової допомоги та профільних громадських організацій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Департамент соціального захисту населення облдержадміністрації;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охорони здоров’я облдержадміністрації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Регіональний центр з надання безоплатної вторинної правової допомоги у Чернігівській області (за згодою); Обласний центр соціальних служб;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айдержадміністрації,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 громадські об’єднання та міжн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осіб, які отримали консультації, з розподілом за статтю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rPr>
          <w:trHeight w:val="2224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інформаційних матеріалів та розміщення у громадських місцях про безоплатну медичну, психологічну, правову допомогу, зокрема про гарячі лінії допомоги у випадках насильства, пов’язаного з воєнним конфліктом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Департаменти облдержадміністрації: сі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м’ї, молоді та спорту; соціального захисту населення;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охорони здоров’я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Регіональний центр з надання безоплатної вторинної правової допомоги у Чернігівській області (за згодою);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Обласний центр соціальних служб;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айдержадміністрації,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 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Кількість одиниць інформаційних матеріалів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 та інші джерела, не заборонені 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rPr>
          <w:trHeight w:val="274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7) Розробка та включення до навчальних планів закладів середньої освіти курсу з репродуктивної освіти (як курсу за вибором).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інформаційно-просвітницьких заходів з репродуктивного здоров’я у навчальних закладах для дітей та учнівської молоді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облдержадміністрації: освіти і науки; охорони здоров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Обласний центр соціальних служб; виконавчі комітети міських/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сільських/селищних рад (за згодою); 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Наявність наказів про включення теми у навчальні плани.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навчальних закладів, які провели заняття.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школярів, охоплених формальним навчанням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 репродуктивної освіти,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інформаційно-просвітницьких заходів з репродуктивного здоров’я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осіб, охоплених цими заходами, 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rPr>
          <w:trHeight w:val="2253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8) Проведення заходів у навчальних і позашкільних закладах освіти для дітей та учнівської молоді з попередження конфліктів.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для учнівської молоді, жінок із забезпечення психоемоційної стабільності «Стрес та як його подолати» у форматі 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енінгів, індивідуальних консультацій, груп підтримки.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виїзних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консультацій в громадах з психологічної допомоги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облдержадміністрації: освіти і науки; охорони здоров’я;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Обласний центр соціальних служб; виконавчі комітети міс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ьких/сільських/селищних рад (за згодою); громадські об’єднання та міжнародні організації (за згодою)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закладів, які провели заняття.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школярів, охоплених навчальними заходами з попередження конфліктів,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сіб, охоплених навчальними заходами з психоемоційної стабільності,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осіб, які отримали консультації,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rPr>
          <w:trHeight w:val="120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9) Проведення консультацій та тренінгів для волонтерів, лідерів громадських організацій, соціальних працівників, психологів з протидії вигоранню.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тренінгів для фахівців із соціальної роботи, які залишилися працювати у прифронтових регіонах, з 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тань соціальної роботи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постраждалими від агресії Російської Федерації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Обласний центр соціальних служб; виконавчі комітети міських/сільських/селищних рад (за згодою); громадські об’єднання та міжнародні організації (за згодою)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Кількість осіб, які отрима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 консультації,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осіб, які взяли участь у тренінгах 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протидії вигорання,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осіб, які взяли участь у тренінгах із соціальної роботи з постраждалими від агресії Російської Федерації, з розпод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</w:tr>
      <w:tr w:rsidR="00292099">
        <w:trPr>
          <w:trHeight w:val="3007"/>
        </w:trPr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16. Розширення можливостей підтримки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самозайнятості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підприємництва жінок, зокрема з числа внутрішньо переміщених осіб, жінок-ветеранів та інших осіб, які постраждали від конфлікту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Сприяння впровадження програм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самозайнятості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підприємництва жінок, зокрема жінок-ветеранів, внутрішньо переміщених осіб та їх сімей шляхом інформування, консультування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підтримки ветеранського бізнесу від Українського ветеранського фонду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інветеранів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захисту населення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у Чернігівській області Міністерства у справах ветеранів України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наданих консультацій, поінформованих осіб,  кількість осіб які отримали послуги з професійної адаптації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Проведення інформаційно-консультаційних, навчальних заходів з питань здійснення підприємницької діяльності, зокрема для жінок з числа внутрішньо переміщених осіб, жінок-ветеранів та інших осіб, які постраждали від конфлікту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через підтримку функціонуванн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я безпечних просторів для жінок і дівчат та реалізації місцевих ініціатив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територіальних громадах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Департамент економічного розвитку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Агенція регіонального розвитку Чернігівської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організація «Регіональни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фонд підтримки підприємництва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центр зайнятості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Кількість проведених заходів з питань здійснення підприємницької діяльності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осіб, які взяли участь у заходах з розподілом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Державний/обласний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Організація заходів за участю жінок з різних областей для поширення досвіду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самозайнятість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підпри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ємництво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Департамент економічного розвитку облдержадміністрації; обласний центр зайнятості;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Агенція регіонального розвитку Чернігівської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Державна організація «Регіональний фонд підтримки підприємництва по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жінок, які взяли участь у заходах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твом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Проведення консультацій та організаційного супроводу жінок, зокрема з числа внутрішньо переміщених осіб, та інших осіб, які постраждали від конфлікту, з питань пошуку роботи, з врахуванням їх фахових навичок, досвіду роботи та можливості перенавч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Обласний центр зайнятості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осіб, які отримали консультації та організаційний супровід.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Частка осіб, які відзначили, що консультації та організаційний супровід, були дл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 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корисними,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Пошук приміщень, їх переобладнання та здійснення ремонту із залученням коштів донорів з облаштування житла для внутрішньо переміщених осіб.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Взяття в оренду, реорганізація та ремонт приміщень для соціального бізнесу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приміщень,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облаштованих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для проживання внутрі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шньо переміщених осіб та договорів про можливість використовувати приміщення.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комунальних  приміщень, які використовуються соціальним бізнесом.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осіб, які проживають або використовують приміщення,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ерела, не заборонені законодавством 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 Підтримка осіб,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перебувають на тимчасово окупованих територіях та/або під юрисдикцією інших держав, у тому числі жінок, які проживають у районі воєнних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(бойових) дій, перебувають у полоні, яких примусово вивезли до Російської Федерації, які вимушено виїхали за кордон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1) Поширення інформації в соціальних мережах та групах про діяльність «гарячих телефонних ліній»/ дистанційних інформаційно-консультативних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пунктів/ спеціальних каналів зв’язку/ платформ комплексної допомоги для осіб, які перебувають на тимчасово окупованих територіях та/чи під юрисдикцією інших держав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Департаменти облдержадміністрації: сім’ї, молоді та спорту; соціального захисту населення;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Обласний центр соціальних служб; Регіональний центр з надання безоплатної вторинної правової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допомоги у Чернігівській області (за згодою); райдержадміністрації, виконавчі органи міських, сільських, селищних рад (за згодою),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Кількість публікацій у соціальних мережах.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переглядів та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репостів</w:t>
            </w:r>
            <w:proofErr w:type="spellEnd"/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Надання необхідної допомоги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сім’ям полонених та сім’ям осіб, яких примусово виве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зли до Російської Федерації та які перебувають на території України, зокрема шляхом поширення серед місцевого населення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 про організації, які можуть надавати правову та психологічну підтримку; про алгоритм надання необхідної допомоги.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тренінгів з представниками громадських організацій, які працюють із сім’ями полонених та сім’ями осіб, яких примусово вивезли до Російської Федерації, для підвищення їх рівня кваліфікації щодо надання правової та психологічної підтримки 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Обласний центр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ціальних служб;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Головне управління Національної поліції в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Регіональний центр з надання безоплатної вторинної правової допомоги у Чернігівській області (за згодою); райдержадміністрації; виконавчі органи міських, сільських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Наявність списку організацій, які працюють в цій сфері.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осіб, які пройшли тренінг, з розподілом за статтю.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осіб, охоплених інформацією про алгоритм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надання необхідної допомоги, з розподілом за статтю (за можливістю)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джерела, не заборонені законодавством 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3.3. Визначення належних механізмів документування, оцінювання та відшкодування збитків особам, які постраждали від насильства, пов’язаного з конфліктом, з урахуванням гендерного підходу та притягнення винних до відповідальності</w:t>
            </w:r>
          </w:p>
        </w:tc>
      </w:tr>
      <w:tr w:rsidR="00292099"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 Забезп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ечення доступу громадян, які проживають на територіях, що постраждали від бойових дій,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інформації щодо того, як діяти в кризових умовах, документувати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заподіяну шкоду та звертатися за її відшкодуванням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 начальних семінарів 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підвищення кваліф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ікації фахівців органів державної влади та посадових осіб місцевого самоврядування щодо документування, оцінювання шкоди, завданої постраждалим у зв’язку 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lastRenderedPageBreak/>
              <w:t>конфліктом, з урахуванням гендерного підходу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Громадські об’єднання та міжнародні організації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Чернігівський регіональний центр підвищення кваліфікації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проведених навчальних семінарів з підвищення кваліфікації.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Кількість осіб, які пройшли навчання 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оронені законодавством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Стратегічна ціль 4. Забезпечення захисту від насильства за ознакою статі, сексуального насильства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 умовах збройного конфлікту та в мирний час)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Оперативна ціль 4.2. Формування системи міжвідомчого виявлення та реагування, яка створює умови для отримання комплексного,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своєчасного захисту та доступу до правосуддя осіб, які постраждали від насильства за ознакою статі та сексуального насильства,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пов’я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заного з конфліктом, у мирний час</w:t>
            </w:r>
          </w:p>
        </w:tc>
      </w:tr>
      <w:tr w:rsidR="00292099">
        <w:trPr>
          <w:trHeight w:val="787"/>
        </w:trPr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 Забезпечення виявлення випадків насильства за ознакою статі та належного реагування на них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1) Проведення заходів щодо удосконалення порядку взаємодії суб’єктів, що здійснюють заходи у сфері запобігання та протидії дом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ашньому насильству і насильству за ознакою статі, з реагування на випадки насильства за ознакою статі, в тому числі сексуальні домагання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сім'ї, молоді та спорту облдержадміністрації; Обласний центр соціальних служб;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облдержадміністра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ції: освіти і науки; охорони здоров’я;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Служба у справах дітей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Головне управління Національної поліції в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Обласна прокуратура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лькість проведених заходів.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взяли участь у проведенні заходів.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rPr>
          <w:trHeight w:val="412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Проведення навчальних заходів для різних категорій працівників Національної поліції з урахуванням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особливостей служби слідчих підрозділів з питань ідентифікації та розслідування випадків сексуального насильства в умовах конфлікту, насильства за ознакою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статі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Головне управління Національної поліції в Чернігівській області (за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Обласна прокуратура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Наявність навчальних програм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працівників Національної поліції.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цівників поліції, які пройшли навчання,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rPr>
          <w:trHeight w:val="787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Організація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участь у проведенні інформаційних кампаній з питань запобігання та протидії насильству за ознакою статі, сексуальному насильству в умовах конфлікту, сексуальних домагань тощо для працівників сектору безпеки і оборони із залученням громадських об’єднань.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Головне управління Національної поліції в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райдержадміністрації, виконавчі органи міських, сільських та селищних рад;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проведених інформаційних кампан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охоплених кампаніями, з розподілом за статтю (за можливості)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 Забезпечення системного моніторингу функціонування системи реагування на насильство за ознакою статі; сексуальне насильство, пов’язане з конфліктом; торгівлю людьми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Вирішення питань щодо покращення транспортного сполучення між районами та громадами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Чернігівської області, особливо на територіях, наближених до зони бойових дій/прифронтових територіях з урахуванням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ситуацій, що сприятиме мобільності жінок, чоловіків, дівчат та хлопців та забезпечення доступу до якісних соціальних послуг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тамент енергоефективності, транспорту, зв’язку та житлово-комунального господарства облдержадміністрації; виконавчі комітети міських/сільських/селищних рад (за згодою); 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збільшеного транс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портного сполучення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Проведення моніторингу та оцінки функціонування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спецалізованих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підтримки осіб, які постраждали від домашнього насильства та насильства за ознакою статі, надання на їх базі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допомоги та послуг постраждалим від сексуального насильства, пов’язаного з конфліктом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Департамент сім’ї, молоді та спорту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облдержадміністрації; Обласний центр соціальних служб; 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Наявність звітів за результатами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проведення моніторингу з рекомендаціями.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Кількість осіб, які отримали послуги від спеціалізованих служб підтримки постраждалих осіб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джерела, не заборонені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законодавством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Оперативна ціль 4.3. Забезпечення комплексної допомоги особам, які постраждали від насильства за ознакою статі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сексуального насильства, пов’язаного з конфліктом, з урахуванням специфічних потреб постраждалих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умовах збройного конфлікту та в мирний час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Забезпечення надання ефективної своєчасної допомоги особам, які постраждали від насильства за ознакою статі; сексуального насильства, пов’язаного з конфліктом; торгівлі людьми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1) Забезпечення інформування на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селення про допомогу, що можуть отримати особи, які постраждали від насильства за ознакою статі та сексуального насильства, пов’язаного з конфліктом, з урахуванням засобів комунікації для різних груп жінок і чоловіків (з урахуванням їх віку, місця проживан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ня, наявності інвалідності, етнічного походження, майнового стану тощо) та послуги, які їм надаються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сім’ї, молоді та спорту облдержадміністрації; Управління облдержадміністрації: освіти і науки; охорони здоров’я;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Служба у справах дітей облдерж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адміністрації; Головне управління Національної поліції в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Обласний центр соціальних служб; 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проведених інформаційних кампаній.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охоплених кампаніями, з розподілом за статтю (за можливості)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Інші джерела, не заборонені законодавством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Здійснення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контролю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дотриманням вимог законодавства з питань  дотримання прав дітей, надання соціальної підтримки, соціальних послуг громадянам області, які постраждали від домашнього насильства та насильства за ознакою статі, сексуального насильства, пов’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язаного з конфліктом, торгівлі людьми, включно членам сімей учасників бойових дій в територіальних громадах області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Головне управління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Національної соціальної сервісної служби у Чернігівській області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перевірених послуг  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ржавний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Проведення навчань для фахівців з питань надання  допомоги особам,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які постраждали від насильства за ознакою статі та сексуального насильства, пов’язаного з конфліктом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торгівлі людьми,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репродуктивного здоров’я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сім’ї, молоді та спорту облдержадміністрації;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Чернігівський регіональний центр підвищення кваліфікації;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охорони здоров’я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Обласний центр соціальних служб; виконавчі комітети міських/сільських/селищних рад (за зг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проведених навчань та кількість учасників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4) Проведення навчань для жінок, які шу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кають роботу, в тому числі, які постраждали від насильства за ознакою статі, торгівлі людьми 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Обласний центр зайнятості (за згодою); 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громадські об’єднання 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міжнародні 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Кількість проведених навчань та кількість жінок, які охоплені навчанням</w:t>
            </w:r>
          </w:p>
        </w:tc>
        <w:tc>
          <w:tcPr>
            <w:tcW w:w="1417" w:type="dxa"/>
          </w:tcPr>
          <w:p w:rsidR="00292099" w:rsidRDefault="004567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5) Надання безоплатної правової допомоги особам, які постраждали від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гендерно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 xml:space="preserve"> зумовленого та сексуального насильства, пов’язаного з конфліктом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Регіональний центр з надання безоплатної вторинної правової допомоги у Чернігівській області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отри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мали безоплатну правову допомогу, з розподілом за статтю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Оперативна ціль 4.4. Забезпечення функціонування ефективних механізмів запобігання насильству за ознакою статі,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сексуальним домаганням та сексуальному насильству, пов’язаному з конфліктом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 Запровадження системного інформування населення з питань запобігання та протидії насильству за ознакою статі, сексуальним домаганням та сексуальному насильству, пов’язаному з конфліктом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1) За допомогою представниць групи самодопомоги, громадських орган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ізацій та місцевих проектів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виготовлення та розповсюдження інформаційних та просвітницьких матеріалів з метою формування в суспільстві толерантності, культури миру, нетерпимості до проявів дискримінації за ознакою статі, запобігання та протидії насильству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ознакою статі, зокрема шляхом розміщення інформації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облдержадміністрації,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екземплярів друкованої продукції. Кількість матеріалів, розміщених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перегляд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Проведення інформаційних заходів з підвищення рівня поінформованості з питань запобігання та протидії насильству в навчальних закладах області, центрах зайнятості,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бібліотеках, позашкільних, спортивних організаціях та профспілкових об’єднання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х,  зокрема шляхом інформування з питань  насильства за ознакою статі, сексуальних домагань сексуального насильства, пов’язаного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конфліктом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Департаменти облдержадміністрації: культури і туризму, національностей та релігій; сім’ї, молоді та спорту; Управління освіти і науки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центр зайнятості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громадські об’єднання 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заходів та інформаційних кампаній.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охоплених заходами та інформаційними кампаніями, з розподілом за статтю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2024- 2025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23. Запобігання вчиненню насильства особами, які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схильні до його вчинення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Забезпечення проходження особами, які вчинили домашнє насильство та насильство за ознакою статі, програм для кривдників в установленому законодавством порядку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 (за зго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осіб, направлених на проходження програм.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які пройшли програми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 та інші джерела, не заборонені законодавством</w:t>
            </w:r>
          </w:p>
        </w:tc>
      </w:tr>
      <w:tr w:rsidR="00292099">
        <w:tc>
          <w:tcPr>
            <w:tcW w:w="14992" w:type="dxa"/>
            <w:gridSpan w:val="6"/>
          </w:tcPr>
          <w:p w:rsidR="00292099" w:rsidRDefault="00456748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Стратегічна ціль 5. Забезпечення розвиненої інституційної спроможності виконавців Національного плану для ефективного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впровадження порядку денного «Жінки, мир, безпека» відповідно до міжнародних стандартів</w:t>
            </w:r>
          </w:p>
        </w:tc>
      </w:tr>
      <w:tr w:rsidR="00292099">
        <w:tc>
          <w:tcPr>
            <w:tcW w:w="2235" w:type="dxa"/>
            <w:vMerge w:val="restart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 Забезпечення міжвідомчої співпраці та коорди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нації діяльності органів державної влади, міжнародних організацій та громадських об’єднань щодо розроблення, виконання та моніторингу стану виконання Національного плану</w:t>
            </w: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Організація навчань для членів консультаційно-дорадчих органів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регіонального та міс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цевого рівнів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виконання порядку денного «Жінки, мир, безпека» та його моніторингу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у співпраці з громадськими організаціями  та групами самодопомоги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сім’ї, молоді та спорту облдержадміністрації;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райдержадміністрації;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міських/сільських/селищних рад (за згодою);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 та міжнародні організації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представників консультаційно-дорадчих органів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регіонального та місцевого рівнів (учасників), які пройшли навчання 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099"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2) Створення окремого розділу щодо реалізації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 дій з виконання резолюції Ради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Безпеки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ООН 1325 «Жінки, мир, безпека» на період до 2025 року у Чернігівській області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на офіційних сайтах обласної військової адміністрації, Департаменту сім’ї, молоді та спорту облдержадміністрації, де  регулярно оновлювати інформацію, включаючи звіти про заходи, події та плани</w:t>
            </w: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Департаменти облдержадміністрації сім’ї, молоді та спорту; інформаційної діяльності та зв’язків з громадськістю;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окремого розділу на офіційних сайтах. Наявність звітів за результатам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моніторингу з рекомендаціями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  <w:tr w:rsidR="00292099">
        <w:trPr>
          <w:trHeight w:val="2562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3) Сприяння створенню посад радників 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питань забезпечення рівних прав та можливостей жінок і чоловіків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 органах виконавчої влади та місцевого самоврядування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сім’ї, молоді та спорту  облдержадміністрації;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райдержадміністрації, виконавчі комітети міських/сільських/селищних рад (за згодою)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призначених радників з питань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ja-JP"/>
              </w:rPr>
              <w:t>забезпечення рівних прав та можливостей жінок і чоловіків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 органах вик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онавчої влади та місцевого самоврядування</w:t>
            </w: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Не потребує фінансування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Не потребує фінансування</w:t>
            </w:r>
          </w:p>
        </w:tc>
      </w:tr>
      <w:tr w:rsidR="00292099">
        <w:trPr>
          <w:trHeight w:val="559"/>
        </w:trPr>
        <w:tc>
          <w:tcPr>
            <w:tcW w:w="2235" w:type="dxa"/>
            <w:vMerge/>
          </w:tcPr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4) Організація навчання з гендерної політики для депутатів обласної ради та депутатів органів місцевого самоврядування, предста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вників громадських об’єднань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сім’ї, молоді та спорту облдержадміністрації; 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виконавчі комітети міських/сільських/селищних рад (за згодою); Чернігівський регіональний центр підвищення кваліфікації;</w:t>
            </w:r>
          </w:p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 об’єднання, та міжнародні організац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ії (за згодою)</w:t>
            </w:r>
          </w:p>
        </w:tc>
        <w:tc>
          <w:tcPr>
            <w:tcW w:w="2126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депутатів, які взяли участь у навчальних заходах, з розподілом за статтю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843" w:type="dxa"/>
          </w:tcPr>
          <w:p w:rsidR="00292099" w:rsidRDefault="00456748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 та інші джерела, не заборонені законодавством</w:t>
            </w:r>
          </w:p>
          <w:p w:rsidR="00292099" w:rsidRDefault="00292099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92099" w:rsidRDefault="00292099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2099" w:rsidRDefault="00292099">
      <w:pPr>
        <w:rPr>
          <w:lang w:val="uk-UA"/>
        </w:rPr>
      </w:pPr>
    </w:p>
    <w:sectPr w:rsidR="00292099">
      <w:headerReference w:type="default" r:id="rId7"/>
      <w:pgSz w:w="16838" w:h="11906" w:orient="landscape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48" w:rsidRDefault="00456748">
      <w:pPr>
        <w:spacing w:after="0" w:line="240" w:lineRule="auto"/>
      </w:pPr>
      <w:r>
        <w:separator/>
      </w:r>
    </w:p>
  </w:endnote>
  <w:endnote w:type="continuationSeparator" w:id="0">
    <w:p w:rsidR="00456748" w:rsidRDefault="0045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DejaVu Sans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48" w:rsidRDefault="00456748">
      <w:pPr>
        <w:spacing w:after="0" w:line="240" w:lineRule="auto"/>
      </w:pPr>
      <w:r>
        <w:separator/>
      </w:r>
    </w:p>
  </w:footnote>
  <w:footnote w:type="continuationSeparator" w:id="0">
    <w:p w:rsidR="00456748" w:rsidRDefault="0045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845799"/>
      <w:docPartObj>
        <w:docPartGallery w:val="Page Numbers (Top of Page)"/>
        <w:docPartUnique/>
      </w:docPartObj>
    </w:sdtPr>
    <w:sdtEndPr/>
    <w:sdtContent>
      <w:p w:rsidR="00292099" w:rsidRDefault="00456748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726">
          <w:rPr>
            <w:noProof/>
          </w:rPr>
          <w:t>31</w:t>
        </w:r>
        <w:r>
          <w:fldChar w:fldCharType="end"/>
        </w:r>
      </w:p>
    </w:sdtContent>
  </w:sdt>
  <w:p w:rsidR="00292099" w:rsidRDefault="00292099">
    <w:pPr>
      <w:pStyle w:val="af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99"/>
    <w:rsid w:val="00150726"/>
    <w:rsid w:val="00292099"/>
    <w:rsid w:val="0045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ий текст"/>
    <w:basedOn w:val="a"/>
    <w:link w:val="af7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f7">
    <w:name w:val="Нормальний текст Знак"/>
    <w:link w:val="af6"/>
    <w:rPr>
      <w:rFonts w:ascii="antiqua" w:eastAsia="Times New Roman" w:hAnsi="antiqua" w:cs="Times New Roman"/>
      <w:sz w:val="26"/>
      <w:szCs w:val="20"/>
      <w:lang w:eastAsia="ru-RU"/>
    </w:rPr>
  </w:style>
  <w:style w:type="character" w:styleId="af8">
    <w:name w:val="line number"/>
    <w:basedOn w:val="a0"/>
    <w:uiPriority w:val="99"/>
    <w:semiHidden/>
    <w:unhideWhenUsed/>
  </w:style>
  <w:style w:type="paragraph" w:styleId="af9">
    <w:name w:val="header"/>
    <w:basedOn w:val="a"/>
    <w:link w:val="afa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Calibri" w:hAnsi="Calibri" w:cs="Calibri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ий текст"/>
    <w:basedOn w:val="a"/>
    <w:link w:val="af7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f7">
    <w:name w:val="Нормальний текст Знак"/>
    <w:link w:val="af6"/>
    <w:rPr>
      <w:rFonts w:ascii="antiqua" w:eastAsia="Times New Roman" w:hAnsi="antiqua" w:cs="Times New Roman"/>
      <w:sz w:val="26"/>
      <w:szCs w:val="20"/>
      <w:lang w:eastAsia="ru-RU"/>
    </w:rPr>
  </w:style>
  <w:style w:type="character" w:styleId="af8">
    <w:name w:val="line number"/>
    <w:basedOn w:val="a0"/>
    <w:uiPriority w:val="99"/>
    <w:semiHidden/>
    <w:unhideWhenUsed/>
  </w:style>
  <w:style w:type="paragraph" w:styleId="af9">
    <w:name w:val="header"/>
    <w:basedOn w:val="a"/>
    <w:link w:val="afa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Calibri" w:hAnsi="Calibri" w:cs="Calibri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8319</Words>
  <Characters>47423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pro2</dc:creator>
  <cp:lastModifiedBy>Alla</cp:lastModifiedBy>
  <cp:revision>2</cp:revision>
  <dcterms:created xsi:type="dcterms:W3CDTF">2023-07-06T12:05:00Z</dcterms:created>
  <dcterms:modified xsi:type="dcterms:W3CDTF">2023-07-06T12:05:00Z</dcterms:modified>
</cp:coreProperties>
</file>